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7D4C" w14:textId="77777777" w:rsidR="00D94498" w:rsidRDefault="001A4E61" w:rsidP="001A4E61">
      <w:pPr>
        <w:pStyle w:val="NormaaliWWW"/>
      </w:pPr>
      <w:r>
        <w:t xml:space="preserve">Tämä raportti esittelee Kainuun jätehuollon kuntayhtymä Ekokympin vuonna 2025 tekemän sekajätteen koostumustutkimuksen tulokset. </w:t>
      </w:r>
    </w:p>
    <w:p w14:paraId="0754F9FC" w14:textId="77777777" w:rsidR="00D94498" w:rsidRDefault="00D94498" w:rsidP="00D94498">
      <w:r w:rsidRPr="00D94498">
        <w:t>Kainuulaisten sekajätteessä yhä paljon lajiteltavaa</w:t>
      </w:r>
    </w:p>
    <w:p w14:paraId="6B10B4E3" w14:textId="0B884F40" w:rsidR="00D94498" w:rsidRPr="00D94498" w:rsidRDefault="00D94498" w:rsidP="00D94498">
      <w:r w:rsidRPr="00D94498">
        <w:t>Tuoreen tutkimuksen mukaan yli puolet Kainuun ja Vaalan sekajätteestä olisi voinut päätyä hyötykäyttöön. Esimerkiksi biojäte muodostaa edelleen merkittävän osan sekajätteestä, vaikka lajitteluvelvollisuus koskee kaikkia kiinteistöjä. Tutustu tarkempiin tutkimustuloksiin ja lukuisiin havaintoihin tästä raportista.</w:t>
      </w:r>
    </w:p>
    <w:p w14:paraId="34A0C6D0" w14:textId="09610BDC" w:rsidR="001A4E61" w:rsidRDefault="001A4E61" w:rsidP="001A4E61">
      <w:pPr>
        <w:pStyle w:val="NormaaliWWW"/>
        <w:rPr>
          <w:kern w:val="0"/>
          <w14:ligatures w14:val="none"/>
        </w:rPr>
      </w:pPr>
      <w:r>
        <w:t>Tutkimuksen tavoitteena oli selvittää sekajätteen sisältö, kierrätysmahdollisuudet, jätteen koostumuksen vaihtelu eri kiinteistö- ja asuinaluetyypeissä sekä tuottaa ajantasaista tietoa jätteiden määrästä ja laadusta Ekokympin toimialueella. Tutkimus toteutettiin Kajaanin alueella toukokuussa 2025 käsin lajittelemalla 771,78 kg sekajätettä 30 eri jätelajiin Suomen Kiertovoima KIVO ry:n ohjeistuksen mukaisesti.</w:t>
      </w:r>
    </w:p>
    <w:p w14:paraId="16F7F02F" w14:textId="77777777" w:rsidR="001A4E61" w:rsidRDefault="001A4E61" w:rsidP="001A4E61">
      <w:pPr>
        <w:pStyle w:val="Otsikko2"/>
        <w:rPr>
          <w:rFonts w:eastAsia="Times New Roman"/>
        </w:rPr>
      </w:pPr>
      <w:r>
        <w:rPr>
          <w:rFonts w:eastAsia="Times New Roman"/>
        </w:rPr>
        <w:t>Tutkimuksen tausta ja toteutus</w:t>
      </w:r>
    </w:p>
    <w:p w14:paraId="40C5EDA7" w14:textId="6CF15EAE" w:rsidR="001A4E61" w:rsidRDefault="001A4E61" w:rsidP="001A4E61">
      <w:pPr>
        <w:pStyle w:val="NormaaliWWW"/>
      </w:pPr>
      <w:r>
        <w:t>Ekokymppi vastaa jätehuollosta Kainuun ja Vaalan alueella, jossa asukkaita on noin 70 528. Toimialueella on noin 21 000 omakotitaloa, 14 000 loma-asuntoa ja 2 800 taloyhtiötä. Biojätteen lajitteluvelvollisuus koskee kaikkia kiinteistöjä. Vuonna 2024 alueelta toimitettiin poltettavaksi noin 9,84 miljoonaa kiloa asumisessa syntyvää sekajätettä.</w:t>
      </w:r>
    </w:p>
    <w:p w14:paraId="043AEA73" w14:textId="392339F7" w:rsidR="001A4E61" w:rsidRDefault="001A4E61" w:rsidP="001A4E61">
      <w:pPr>
        <w:pStyle w:val="NormaaliWWW"/>
      </w:pPr>
      <w:r>
        <w:t>Tutkimukseen valittiin neljä kuormaa eri asuinalueilta Kajaanista, jotka edustivat omakotitaloja, taloyhtiöitä ja aluekeräyspisteitä. Kuormat kerättiin normaalina keräilypäivänä, ja ne toimitettiin jätekeskukselle, missä jäte levitettiin tasaiseksi matoksi näytteiden keräämistä varten. Suuret jäte-esineet eroteltiin ja punnittiin erikseen vääristymien välttämiseksi. Näytteet lajiteltiin käsin koulutettujen lajittelijoiden toimesta ja punnittiin tarkasti.</w:t>
      </w:r>
    </w:p>
    <w:p w14:paraId="6340FBE4" w14:textId="77777777" w:rsidR="001A4E61" w:rsidRDefault="001A4E61" w:rsidP="001A4E61">
      <w:pPr>
        <w:pStyle w:val="Otsikko2"/>
        <w:rPr>
          <w:rFonts w:eastAsia="Times New Roman"/>
        </w:rPr>
      </w:pPr>
      <w:r>
        <w:rPr>
          <w:rFonts w:eastAsia="Times New Roman"/>
        </w:rPr>
        <w:t>Sekajätteen koostumus ja lajittelu</w:t>
      </w:r>
    </w:p>
    <w:p w14:paraId="4F0C49EC" w14:textId="454FC24A" w:rsidR="001A4E61" w:rsidRDefault="001A4E61" w:rsidP="001A4E61">
      <w:pPr>
        <w:pStyle w:val="NormaaliWWW"/>
      </w:pPr>
      <w:r>
        <w:t>Tutkimuksen mukaan sekajätteestä 46,54 % oli oikein lajiteltua jätettä, mutta yli puolet (53,46 %) oli jätettä, joka olisi voitu lajitella hyödyllisemmin. Biojätteen osuus sekajätteessä oli noin 18,73 % (26 kg per asukas vuodessa), pakkausjätteiden osuus 23,97 % ja polttokelpoisen jätteen osuus 76,41 %. Kolmasosa jätettä (23,59 %) ei sovellu poltettavaksi, ja näihin kuuluvat biojäte, lasi, pienmetallit, paristot, akut ja sähkölaitteet.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80"/>
        <w:gridCol w:w="1636"/>
        <w:gridCol w:w="1922"/>
      </w:tblGrid>
      <w:tr w:rsidR="001A4E61" w14:paraId="158E26E6" w14:textId="77777777" w:rsidTr="00B45D4A">
        <w:trPr>
          <w:tblHeader/>
          <w:tblCellSpacing w:w="15" w:type="dxa"/>
        </w:trPr>
        <w:tc>
          <w:tcPr>
            <w:tcW w:w="0" w:type="auto"/>
            <w:vAlign w:val="center"/>
            <w:hideMark/>
          </w:tcPr>
          <w:p w14:paraId="257CB263" w14:textId="77777777" w:rsidR="001A4E61" w:rsidRDefault="001A4E61" w:rsidP="00B45D4A">
            <w:pPr>
              <w:jc w:val="center"/>
              <w:rPr>
                <w:rFonts w:eastAsia="Times New Roman"/>
                <w:b/>
                <w:bCs/>
              </w:rPr>
            </w:pPr>
            <w:r>
              <w:rPr>
                <w:rFonts w:eastAsia="Times New Roman"/>
                <w:b/>
                <w:bCs/>
              </w:rPr>
              <w:t>Jätejakeiden osuudet sekajätteessä kiinteistötyypeittäin</w:t>
            </w:r>
          </w:p>
        </w:tc>
        <w:tc>
          <w:tcPr>
            <w:tcW w:w="0" w:type="auto"/>
            <w:vAlign w:val="center"/>
            <w:hideMark/>
          </w:tcPr>
          <w:p w14:paraId="3BD436AA" w14:textId="77777777" w:rsidR="001A4E61" w:rsidRDefault="001A4E61" w:rsidP="00B45D4A">
            <w:pPr>
              <w:jc w:val="center"/>
              <w:rPr>
                <w:rFonts w:eastAsia="Times New Roman"/>
                <w:b/>
                <w:bCs/>
              </w:rPr>
            </w:pPr>
            <w:r>
              <w:rPr>
                <w:rFonts w:eastAsia="Times New Roman"/>
                <w:b/>
                <w:bCs/>
              </w:rPr>
              <w:t>Oikein lajiteltu</w:t>
            </w:r>
          </w:p>
        </w:tc>
        <w:tc>
          <w:tcPr>
            <w:tcW w:w="0" w:type="auto"/>
            <w:vAlign w:val="center"/>
            <w:hideMark/>
          </w:tcPr>
          <w:p w14:paraId="5741E229" w14:textId="77777777" w:rsidR="001A4E61" w:rsidRDefault="001A4E61" w:rsidP="00B45D4A">
            <w:pPr>
              <w:jc w:val="center"/>
              <w:rPr>
                <w:rFonts w:eastAsia="Times New Roman"/>
                <w:b/>
                <w:bCs/>
              </w:rPr>
            </w:pPr>
            <w:r>
              <w:rPr>
                <w:rFonts w:eastAsia="Times New Roman"/>
                <w:b/>
                <w:bCs/>
              </w:rPr>
              <w:t>Polttokelpoisuus</w:t>
            </w:r>
          </w:p>
        </w:tc>
      </w:tr>
      <w:tr w:rsidR="001A4E61" w14:paraId="5F8924EC" w14:textId="77777777" w:rsidTr="00B45D4A">
        <w:trPr>
          <w:tblCellSpacing w:w="15" w:type="dxa"/>
        </w:trPr>
        <w:tc>
          <w:tcPr>
            <w:tcW w:w="0" w:type="auto"/>
            <w:vAlign w:val="center"/>
            <w:hideMark/>
          </w:tcPr>
          <w:p w14:paraId="0976FD88" w14:textId="77777777" w:rsidR="001A4E61" w:rsidRDefault="001A4E61" w:rsidP="00B45D4A">
            <w:pPr>
              <w:rPr>
                <w:rFonts w:eastAsia="Times New Roman"/>
              </w:rPr>
            </w:pPr>
            <w:r>
              <w:rPr>
                <w:rFonts w:eastAsia="Times New Roman"/>
              </w:rPr>
              <w:t>Aluekeräys</w:t>
            </w:r>
          </w:p>
        </w:tc>
        <w:tc>
          <w:tcPr>
            <w:tcW w:w="0" w:type="auto"/>
            <w:vAlign w:val="center"/>
            <w:hideMark/>
          </w:tcPr>
          <w:p w14:paraId="34E8F1D2" w14:textId="77777777" w:rsidR="001A4E61" w:rsidRDefault="001A4E61" w:rsidP="00B45D4A">
            <w:pPr>
              <w:rPr>
                <w:rFonts w:eastAsia="Times New Roman"/>
              </w:rPr>
            </w:pPr>
            <w:r>
              <w:rPr>
                <w:rFonts w:eastAsia="Times New Roman"/>
              </w:rPr>
              <w:t>55,65 %</w:t>
            </w:r>
          </w:p>
        </w:tc>
        <w:tc>
          <w:tcPr>
            <w:tcW w:w="0" w:type="auto"/>
            <w:vAlign w:val="center"/>
            <w:hideMark/>
          </w:tcPr>
          <w:p w14:paraId="6791CD98" w14:textId="77777777" w:rsidR="001A4E61" w:rsidRDefault="001A4E61" w:rsidP="00B45D4A">
            <w:pPr>
              <w:rPr>
                <w:rFonts w:eastAsia="Times New Roman"/>
              </w:rPr>
            </w:pPr>
            <w:r>
              <w:rPr>
                <w:rFonts w:eastAsia="Times New Roman"/>
              </w:rPr>
              <w:t>81,60 %</w:t>
            </w:r>
          </w:p>
        </w:tc>
      </w:tr>
      <w:tr w:rsidR="001A4E61" w14:paraId="3B389A73" w14:textId="77777777" w:rsidTr="00B45D4A">
        <w:trPr>
          <w:tblCellSpacing w:w="15" w:type="dxa"/>
        </w:trPr>
        <w:tc>
          <w:tcPr>
            <w:tcW w:w="0" w:type="auto"/>
            <w:vAlign w:val="center"/>
            <w:hideMark/>
          </w:tcPr>
          <w:p w14:paraId="2B5A505F" w14:textId="77777777" w:rsidR="001A4E61" w:rsidRDefault="001A4E61" w:rsidP="00B45D4A">
            <w:pPr>
              <w:rPr>
                <w:rFonts w:eastAsia="Times New Roman"/>
              </w:rPr>
            </w:pPr>
            <w:r>
              <w:rPr>
                <w:rFonts w:eastAsia="Times New Roman"/>
              </w:rPr>
              <w:lastRenderedPageBreak/>
              <w:t>Kerrostalot</w:t>
            </w:r>
          </w:p>
        </w:tc>
        <w:tc>
          <w:tcPr>
            <w:tcW w:w="0" w:type="auto"/>
            <w:vAlign w:val="center"/>
            <w:hideMark/>
          </w:tcPr>
          <w:p w14:paraId="42CA0FCC" w14:textId="77777777" w:rsidR="001A4E61" w:rsidRDefault="001A4E61" w:rsidP="00B45D4A">
            <w:pPr>
              <w:rPr>
                <w:rFonts w:eastAsia="Times New Roman"/>
              </w:rPr>
            </w:pPr>
            <w:r>
              <w:rPr>
                <w:rFonts w:eastAsia="Times New Roman"/>
              </w:rPr>
              <w:t>42,02 %</w:t>
            </w:r>
          </w:p>
        </w:tc>
        <w:tc>
          <w:tcPr>
            <w:tcW w:w="0" w:type="auto"/>
            <w:vAlign w:val="center"/>
            <w:hideMark/>
          </w:tcPr>
          <w:p w14:paraId="5CCCE34B" w14:textId="77777777" w:rsidR="001A4E61" w:rsidRDefault="001A4E61" w:rsidP="00B45D4A">
            <w:pPr>
              <w:rPr>
                <w:rFonts w:eastAsia="Times New Roman"/>
              </w:rPr>
            </w:pPr>
            <w:r>
              <w:rPr>
                <w:rFonts w:eastAsia="Times New Roman"/>
              </w:rPr>
              <w:t>77,42 %</w:t>
            </w:r>
          </w:p>
        </w:tc>
      </w:tr>
      <w:tr w:rsidR="001A4E61" w14:paraId="5E15F88B" w14:textId="77777777" w:rsidTr="00B45D4A">
        <w:trPr>
          <w:tblCellSpacing w:w="15" w:type="dxa"/>
        </w:trPr>
        <w:tc>
          <w:tcPr>
            <w:tcW w:w="0" w:type="auto"/>
            <w:vAlign w:val="center"/>
            <w:hideMark/>
          </w:tcPr>
          <w:p w14:paraId="0589FE54" w14:textId="77777777" w:rsidR="001A4E61" w:rsidRDefault="001A4E61" w:rsidP="00B45D4A">
            <w:pPr>
              <w:rPr>
                <w:rFonts w:eastAsia="Times New Roman"/>
              </w:rPr>
            </w:pPr>
            <w:r>
              <w:rPr>
                <w:rFonts w:eastAsia="Times New Roman"/>
              </w:rPr>
              <w:t>Omakotitalot</w:t>
            </w:r>
          </w:p>
        </w:tc>
        <w:tc>
          <w:tcPr>
            <w:tcW w:w="0" w:type="auto"/>
            <w:vAlign w:val="center"/>
            <w:hideMark/>
          </w:tcPr>
          <w:p w14:paraId="19EE9A1C" w14:textId="77777777" w:rsidR="001A4E61" w:rsidRDefault="001A4E61" w:rsidP="00B45D4A">
            <w:pPr>
              <w:rPr>
                <w:rFonts w:eastAsia="Times New Roman"/>
              </w:rPr>
            </w:pPr>
            <w:r>
              <w:rPr>
                <w:rFonts w:eastAsia="Times New Roman"/>
              </w:rPr>
              <w:t>41,49 %</w:t>
            </w:r>
          </w:p>
        </w:tc>
        <w:tc>
          <w:tcPr>
            <w:tcW w:w="0" w:type="auto"/>
            <w:vAlign w:val="center"/>
            <w:hideMark/>
          </w:tcPr>
          <w:p w14:paraId="719AE37C" w14:textId="77777777" w:rsidR="001A4E61" w:rsidRDefault="001A4E61" w:rsidP="00B45D4A">
            <w:pPr>
              <w:rPr>
                <w:rFonts w:eastAsia="Times New Roman"/>
              </w:rPr>
            </w:pPr>
            <w:r>
              <w:rPr>
                <w:rFonts w:eastAsia="Times New Roman"/>
              </w:rPr>
              <w:t>71,61 %</w:t>
            </w:r>
          </w:p>
        </w:tc>
      </w:tr>
      <w:tr w:rsidR="001A4E61" w14:paraId="2804CCE7" w14:textId="77777777" w:rsidTr="00B45D4A">
        <w:trPr>
          <w:tblCellSpacing w:w="15" w:type="dxa"/>
        </w:trPr>
        <w:tc>
          <w:tcPr>
            <w:tcW w:w="0" w:type="auto"/>
            <w:vAlign w:val="center"/>
            <w:hideMark/>
          </w:tcPr>
          <w:p w14:paraId="0BECC6F0" w14:textId="77777777" w:rsidR="001A4E61" w:rsidRDefault="001A4E61" w:rsidP="00B45D4A">
            <w:pPr>
              <w:rPr>
                <w:rFonts w:eastAsia="Times New Roman"/>
              </w:rPr>
            </w:pPr>
            <w:r>
              <w:rPr>
                <w:rFonts w:eastAsia="Times New Roman"/>
              </w:rPr>
              <w:t>Kaikki yhteensä</w:t>
            </w:r>
          </w:p>
        </w:tc>
        <w:tc>
          <w:tcPr>
            <w:tcW w:w="0" w:type="auto"/>
            <w:vAlign w:val="center"/>
            <w:hideMark/>
          </w:tcPr>
          <w:p w14:paraId="1598A1E2" w14:textId="77777777" w:rsidR="001A4E61" w:rsidRDefault="001A4E61" w:rsidP="00B45D4A">
            <w:pPr>
              <w:rPr>
                <w:rFonts w:eastAsia="Times New Roman"/>
              </w:rPr>
            </w:pPr>
            <w:r>
              <w:rPr>
                <w:rFonts w:eastAsia="Times New Roman"/>
              </w:rPr>
              <w:t>46,54 %</w:t>
            </w:r>
          </w:p>
        </w:tc>
        <w:tc>
          <w:tcPr>
            <w:tcW w:w="0" w:type="auto"/>
            <w:vAlign w:val="center"/>
            <w:hideMark/>
          </w:tcPr>
          <w:p w14:paraId="1B871386" w14:textId="77777777" w:rsidR="001A4E61" w:rsidRDefault="001A4E61" w:rsidP="00B45D4A">
            <w:pPr>
              <w:rPr>
                <w:rFonts w:eastAsia="Times New Roman"/>
              </w:rPr>
            </w:pPr>
            <w:r>
              <w:rPr>
                <w:rFonts w:eastAsia="Times New Roman"/>
              </w:rPr>
              <w:t>76,41 %</w:t>
            </w:r>
          </w:p>
        </w:tc>
      </w:tr>
    </w:tbl>
    <w:p w14:paraId="5B358FDC" w14:textId="1A14F902" w:rsidR="001A4E61" w:rsidRDefault="001A4E61" w:rsidP="001A4E61">
      <w:pPr>
        <w:pStyle w:val="NormaaliWWW"/>
      </w:pPr>
      <w:r>
        <w:t>Biojätteen määrä sekajätteessä on kasvanut hieman vuoden 2020 tutkimukseen verrattuna, erityisesti omakotitaloilla, missä biojätettä oli 18,76 % sekajätteen painosta. Taloyhtiöissä sekajätteessä oli runsaasti pakkausjätettä, vaikka jäteastiat ovat siellä moninaiset ja lähellä, mikä viittaa lajittelun puutteisiin asenteissa tai lajittelumahdollisuuksien järjestämisessä kotona.</w:t>
      </w:r>
    </w:p>
    <w:p w14:paraId="30DCD1E0" w14:textId="77777777" w:rsidR="001A4E61" w:rsidRDefault="001A4E61" w:rsidP="001A4E61">
      <w:pPr>
        <w:pStyle w:val="Otsikko2"/>
        <w:rPr>
          <w:rFonts w:eastAsia="Times New Roman"/>
        </w:rPr>
      </w:pPr>
      <w:r>
        <w:rPr>
          <w:rFonts w:eastAsia="Times New Roman"/>
        </w:rPr>
        <w:t>Jätelajit ja niiden osuudet</w:t>
      </w:r>
    </w:p>
    <w:p w14:paraId="226C47E2" w14:textId="77777777" w:rsidR="001A4E61" w:rsidRDefault="001A4E61" w:rsidP="001A4E61">
      <w:pPr>
        <w:numPr>
          <w:ilvl w:val="0"/>
          <w:numId w:val="1"/>
        </w:numPr>
        <w:spacing w:before="100" w:beforeAutospacing="1" w:after="100" w:afterAutospacing="1"/>
        <w:rPr>
          <w:rFonts w:eastAsia="Times New Roman"/>
        </w:rPr>
      </w:pPr>
      <w:r>
        <w:rPr>
          <w:rStyle w:val="Voimakas"/>
          <w:rFonts w:eastAsia="Times New Roman"/>
        </w:rPr>
        <w:t>Biojäte</w:t>
      </w:r>
      <w:r>
        <w:rPr>
          <w:rFonts w:eastAsia="Times New Roman"/>
        </w:rPr>
        <w:t xml:space="preserve"> (keittiöbiojäte, nestemäinen biojäte, puutarhajäte) yhteensä 18,73 % (137,97 kg keittiöbiojätettä) </w:t>
      </w:r>
    </w:p>
    <w:p w14:paraId="2F0E63D9" w14:textId="77777777" w:rsidR="001A4E61" w:rsidRDefault="001A4E61" w:rsidP="001A4E61">
      <w:pPr>
        <w:numPr>
          <w:ilvl w:val="0"/>
          <w:numId w:val="1"/>
        </w:numPr>
        <w:spacing w:before="100" w:beforeAutospacing="1" w:after="100" w:afterAutospacing="1"/>
        <w:rPr>
          <w:rFonts w:eastAsia="Times New Roman"/>
        </w:rPr>
      </w:pPr>
      <w:r>
        <w:rPr>
          <w:rStyle w:val="Voimakas"/>
          <w:rFonts w:eastAsia="Times New Roman"/>
        </w:rPr>
        <w:t>Pakkausjätteet</w:t>
      </w:r>
      <w:r>
        <w:rPr>
          <w:rFonts w:eastAsia="Times New Roman"/>
        </w:rPr>
        <w:t xml:space="preserve"> yhteensä 23,97 % (kartonki, pahvi, muovi, metalli, lasi)   </w:t>
      </w:r>
    </w:p>
    <w:p w14:paraId="56193EE4" w14:textId="77777777" w:rsidR="001A4E61" w:rsidRDefault="001A4E61" w:rsidP="001A4E61">
      <w:pPr>
        <w:numPr>
          <w:ilvl w:val="0"/>
          <w:numId w:val="1"/>
        </w:numPr>
        <w:spacing w:before="100" w:beforeAutospacing="1" w:after="100" w:afterAutospacing="1"/>
        <w:rPr>
          <w:rFonts w:eastAsia="Times New Roman"/>
        </w:rPr>
      </w:pPr>
      <w:r>
        <w:rPr>
          <w:rStyle w:val="Voimakas"/>
          <w:rFonts w:eastAsia="Times New Roman"/>
        </w:rPr>
        <w:t>Muovi</w:t>
      </w:r>
      <w:r>
        <w:rPr>
          <w:rFonts w:eastAsia="Times New Roman"/>
        </w:rPr>
        <w:t xml:space="preserve"> 18,24 % (muovipakkaukset 11,48 %, muu muovi 6,76 %) </w:t>
      </w:r>
    </w:p>
    <w:p w14:paraId="218EA079" w14:textId="77777777" w:rsidR="001A4E61" w:rsidRDefault="001A4E61" w:rsidP="001A4E61">
      <w:pPr>
        <w:numPr>
          <w:ilvl w:val="0"/>
          <w:numId w:val="1"/>
        </w:numPr>
        <w:spacing w:before="100" w:beforeAutospacing="1" w:after="100" w:afterAutospacing="1"/>
        <w:rPr>
          <w:rFonts w:eastAsia="Times New Roman"/>
        </w:rPr>
      </w:pPr>
      <w:r>
        <w:rPr>
          <w:rStyle w:val="Voimakas"/>
          <w:rFonts w:eastAsia="Times New Roman"/>
        </w:rPr>
        <w:t>Jäännössekajäte</w:t>
      </w:r>
      <w:r>
        <w:rPr>
          <w:rFonts w:eastAsia="Times New Roman"/>
        </w:rPr>
        <w:t xml:space="preserve"> 27,30 % (mm. vaipat, siteet, tupakan tumpit) </w:t>
      </w:r>
    </w:p>
    <w:p w14:paraId="77AF0E28" w14:textId="77777777" w:rsidR="001A4E61" w:rsidRDefault="001A4E61" w:rsidP="001A4E61">
      <w:pPr>
        <w:numPr>
          <w:ilvl w:val="0"/>
          <w:numId w:val="1"/>
        </w:numPr>
        <w:spacing w:before="100" w:beforeAutospacing="1" w:after="100" w:afterAutospacing="1"/>
        <w:rPr>
          <w:rFonts w:eastAsia="Times New Roman"/>
        </w:rPr>
      </w:pPr>
      <w:r>
        <w:rPr>
          <w:rStyle w:val="Voimakas"/>
          <w:rFonts w:eastAsia="Times New Roman"/>
        </w:rPr>
        <w:t>Tekstiilit ja jalkineet</w:t>
      </w:r>
      <w:r>
        <w:rPr>
          <w:rFonts w:eastAsia="Times New Roman"/>
        </w:rPr>
        <w:t xml:space="preserve"> 5,30 % </w:t>
      </w:r>
    </w:p>
    <w:p w14:paraId="11BF0A52" w14:textId="77777777" w:rsidR="001A4E61" w:rsidRDefault="001A4E61" w:rsidP="001A4E61">
      <w:pPr>
        <w:numPr>
          <w:ilvl w:val="0"/>
          <w:numId w:val="1"/>
        </w:numPr>
        <w:spacing w:before="100" w:beforeAutospacing="1" w:after="100" w:afterAutospacing="1"/>
        <w:rPr>
          <w:rFonts w:eastAsia="Times New Roman"/>
        </w:rPr>
      </w:pPr>
      <w:r>
        <w:rPr>
          <w:rStyle w:val="Voimakas"/>
          <w:rFonts w:eastAsia="Times New Roman"/>
        </w:rPr>
        <w:t>Sähkölaitteet ja akut</w:t>
      </w:r>
      <w:r>
        <w:rPr>
          <w:rFonts w:eastAsia="Times New Roman"/>
        </w:rPr>
        <w:t xml:space="preserve"> 0,87 % </w:t>
      </w:r>
    </w:p>
    <w:p w14:paraId="68FBB3F1" w14:textId="77777777" w:rsidR="001A4E61" w:rsidRDefault="001A4E61" w:rsidP="001A4E61">
      <w:pPr>
        <w:numPr>
          <w:ilvl w:val="0"/>
          <w:numId w:val="1"/>
        </w:numPr>
        <w:spacing w:before="100" w:beforeAutospacing="1" w:after="100" w:afterAutospacing="1"/>
        <w:rPr>
          <w:rFonts w:eastAsia="Times New Roman"/>
        </w:rPr>
      </w:pPr>
      <w:r>
        <w:rPr>
          <w:rStyle w:val="Voimakas"/>
          <w:rFonts w:eastAsia="Times New Roman"/>
        </w:rPr>
        <w:t>Vaaralliset jätteet</w:t>
      </w:r>
      <w:r>
        <w:rPr>
          <w:rFonts w:eastAsia="Times New Roman"/>
        </w:rPr>
        <w:t xml:space="preserve"> (lääkkeet, kemikaalit) alle 0,15 % </w:t>
      </w:r>
    </w:p>
    <w:p w14:paraId="1B3321AF" w14:textId="77777777" w:rsidR="001A4E61" w:rsidRDefault="001A4E61" w:rsidP="001A4E61">
      <w:pPr>
        <w:pStyle w:val="Otsikko2"/>
        <w:rPr>
          <w:rFonts w:eastAsia="Times New Roman"/>
        </w:rPr>
      </w:pPr>
      <w:r>
        <w:rPr>
          <w:rFonts w:eastAsia="Times New Roman"/>
        </w:rPr>
        <w:t>Kierrätyspotentiaali ja toimenpide-ehdotukset</w:t>
      </w:r>
    </w:p>
    <w:p w14:paraId="139FF717" w14:textId="3B4D030A" w:rsidR="001A4E61" w:rsidRDefault="001A4E61" w:rsidP="001A4E61">
      <w:pPr>
        <w:pStyle w:val="NormaaliWWW"/>
      </w:pPr>
      <w:r>
        <w:t>Sekajätteessä on merkittävä määrä kierrätyskelpoista jätettä, jota toimitetaan poltettavaksi. Vuonna 2024 polttolaitoksiin kuljetettiin noin 6,2 miljoonaa kiloa hyödyntämiskelpoista jätettä, joka vastaa noin 140 rekka-autollista jätettä. Biojätettä kuljetettiin sekajätteen mukana 1,8 miljoonaa kiloa eli 42 rekallista. Näiden jätteiden lajittelulla ja asianmukaisella käsittelyllä kierrätysastetta voitaisiin nostaa merkittävästi.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2"/>
        <w:gridCol w:w="2292"/>
        <w:gridCol w:w="1507"/>
        <w:gridCol w:w="2536"/>
      </w:tblGrid>
      <w:tr w:rsidR="001A4E61" w14:paraId="7DE712A6" w14:textId="77777777" w:rsidTr="00B45D4A">
        <w:trPr>
          <w:tblHeader/>
          <w:tblCellSpacing w:w="15" w:type="dxa"/>
        </w:trPr>
        <w:tc>
          <w:tcPr>
            <w:tcW w:w="0" w:type="auto"/>
            <w:vAlign w:val="center"/>
            <w:hideMark/>
          </w:tcPr>
          <w:p w14:paraId="7AD6EFE3" w14:textId="77777777" w:rsidR="001A4E61" w:rsidRDefault="001A4E61" w:rsidP="00B45D4A">
            <w:pPr>
              <w:jc w:val="center"/>
              <w:rPr>
                <w:rFonts w:eastAsia="Times New Roman"/>
                <w:b/>
                <w:bCs/>
              </w:rPr>
            </w:pPr>
            <w:r>
              <w:rPr>
                <w:rFonts w:eastAsia="Times New Roman"/>
                <w:b/>
                <w:bCs/>
              </w:rPr>
              <w:t>Jätelaji</w:t>
            </w:r>
          </w:p>
        </w:tc>
        <w:tc>
          <w:tcPr>
            <w:tcW w:w="0" w:type="auto"/>
            <w:vAlign w:val="center"/>
            <w:hideMark/>
          </w:tcPr>
          <w:p w14:paraId="22BDE30F" w14:textId="77777777" w:rsidR="001A4E61" w:rsidRDefault="001A4E61" w:rsidP="00B45D4A">
            <w:pPr>
              <w:jc w:val="center"/>
              <w:rPr>
                <w:rFonts w:eastAsia="Times New Roman"/>
                <w:b/>
                <w:bCs/>
              </w:rPr>
            </w:pPr>
            <w:r>
              <w:rPr>
                <w:rFonts w:eastAsia="Times New Roman"/>
                <w:b/>
                <w:bCs/>
              </w:rPr>
              <w:t>Osuus sekajätteestä</w:t>
            </w:r>
          </w:p>
        </w:tc>
        <w:tc>
          <w:tcPr>
            <w:tcW w:w="0" w:type="auto"/>
            <w:vAlign w:val="center"/>
            <w:hideMark/>
          </w:tcPr>
          <w:p w14:paraId="69BC7935" w14:textId="77777777" w:rsidR="001A4E61" w:rsidRDefault="001A4E61" w:rsidP="00B45D4A">
            <w:pPr>
              <w:jc w:val="center"/>
              <w:rPr>
                <w:rFonts w:eastAsia="Times New Roman"/>
                <w:b/>
                <w:bCs/>
              </w:rPr>
            </w:pPr>
            <w:r>
              <w:rPr>
                <w:rFonts w:eastAsia="Times New Roman"/>
                <w:b/>
                <w:bCs/>
              </w:rPr>
              <w:t>Kilogrammaa</w:t>
            </w:r>
          </w:p>
        </w:tc>
        <w:tc>
          <w:tcPr>
            <w:tcW w:w="0" w:type="auto"/>
            <w:vAlign w:val="center"/>
            <w:hideMark/>
          </w:tcPr>
          <w:p w14:paraId="7E82E062" w14:textId="77777777" w:rsidR="001A4E61" w:rsidRDefault="001A4E61" w:rsidP="00B45D4A">
            <w:pPr>
              <w:jc w:val="center"/>
              <w:rPr>
                <w:rFonts w:eastAsia="Times New Roman"/>
                <w:b/>
                <w:bCs/>
              </w:rPr>
            </w:pPr>
            <w:r>
              <w:rPr>
                <w:rFonts w:eastAsia="Times New Roman"/>
                <w:b/>
                <w:bCs/>
              </w:rPr>
              <w:t>Rekka-autollista/vuosi</w:t>
            </w:r>
          </w:p>
        </w:tc>
      </w:tr>
      <w:tr w:rsidR="001A4E61" w14:paraId="70FFF4BB" w14:textId="77777777" w:rsidTr="00B45D4A">
        <w:trPr>
          <w:tblCellSpacing w:w="15" w:type="dxa"/>
        </w:trPr>
        <w:tc>
          <w:tcPr>
            <w:tcW w:w="0" w:type="auto"/>
            <w:vAlign w:val="center"/>
            <w:hideMark/>
          </w:tcPr>
          <w:p w14:paraId="24C35EAC" w14:textId="77777777" w:rsidR="001A4E61" w:rsidRDefault="001A4E61" w:rsidP="00B45D4A">
            <w:pPr>
              <w:rPr>
                <w:rFonts w:eastAsia="Times New Roman"/>
              </w:rPr>
            </w:pPr>
            <w:r>
              <w:rPr>
                <w:rFonts w:eastAsia="Times New Roman"/>
              </w:rPr>
              <w:t>Biojäte</w:t>
            </w:r>
          </w:p>
        </w:tc>
        <w:tc>
          <w:tcPr>
            <w:tcW w:w="0" w:type="auto"/>
            <w:vAlign w:val="center"/>
            <w:hideMark/>
          </w:tcPr>
          <w:p w14:paraId="7613A367" w14:textId="77777777" w:rsidR="001A4E61" w:rsidRDefault="001A4E61" w:rsidP="00B45D4A">
            <w:pPr>
              <w:rPr>
                <w:rFonts w:eastAsia="Times New Roman"/>
              </w:rPr>
            </w:pPr>
            <w:r>
              <w:rPr>
                <w:rFonts w:eastAsia="Times New Roman"/>
              </w:rPr>
              <w:t>18,73 %</w:t>
            </w:r>
          </w:p>
        </w:tc>
        <w:tc>
          <w:tcPr>
            <w:tcW w:w="0" w:type="auto"/>
            <w:vAlign w:val="center"/>
            <w:hideMark/>
          </w:tcPr>
          <w:p w14:paraId="6A70AC16" w14:textId="77777777" w:rsidR="001A4E61" w:rsidRDefault="001A4E61" w:rsidP="00B45D4A">
            <w:pPr>
              <w:rPr>
                <w:rFonts w:eastAsia="Times New Roman"/>
              </w:rPr>
            </w:pPr>
            <w:r>
              <w:rPr>
                <w:rFonts w:eastAsia="Times New Roman"/>
              </w:rPr>
              <w:t>1 842 110</w:t>
            </w:r>
          </w:p>
        </w:tc>
        <w:tc>
          <w:tcPr>
            <w:tcW w:w="0" w:type="auto"/>
            <w:vAlign w:val="center"/>
            <w:hideMark/>
          </w:tcPr>
          <w:p w14:paraId="7F86C9FD" w14:textId="77777777" w:rsidR="001A4E61" w:rsidRDefault="001A4E61" w:rsidP="00B45D4A">
            <w:pPr>
              <w:rPr>
                <w:rFonts w:eastAsia="Times New Roman"/>
              </w:rPr>
            </w:pPr>
            <w:r>
              <w:rPr>
                <w:rFonts w:eastAsia="Times New Roman"/>
              </w:rPr>
              <w:t>42</w:t>
            </w:r>
          </w:p>
        </w:tc>
      </w:tr>
      <w:tr w:rsidR="001A4E61" w14:paraId="09DD890B" w14:textId="77777777" w:rsidTr="00B45D4A">
        <w:trPr>
          <w:tblCellSpacing w:w="15" w:type="dxa"/>
        </w:trPr>
        <w:tc>
          <w:tcPr>
            <w:tcW w:w="0" w:type="auto"/>
            <w:vAlign w:val="center"/>
            <w:hideMark/>
          </w:tcPr>
          <w:p w14:paraId="265C9382" w14:textId="77777777" w:rsidR="001A4E61" w:rsidRDefault="001A4E61" w:rsidP="00B45D4A">
            <w:pPr>
              <w:rPr>
                <w:rFonts w:eastAsia="Times New Roman"/>
              </w:rPr>
            </w:pPr>
            <w:r>
              <w:rPr>
                <w:rFonts w:eastAsia="Times New Roman"/>
              </w:rPr>
              <w:t>Kartonki ja pahvi</w:t>
            </w:r>
          </w:p>
        </w:tc>
        <w:tc>
          <w:tcPr>
            <w:tcW w:w="0" w:type="auto"/>
            <w:vAlign w:val="center"/>
            <w:hideMark/>
          </w:tcPr>
          <w:p w14:paraId="4893B985" w14:textId="77777777" w:rsidR="001A4E61" w:rsidRDefault="001A4E61" w:rsidP="00B45D4A">
            <w:pPr>
              <w:rPr>
                <w:rFonts w:eastAsia="Times New Roman"/>
              </w:rPr>
            </w:pPr>
            <w:r>
              <w:rPr>
                <w:rFonts w:eastAsia="Times New Roman"/>
              </w:rPr>
              <w:t>10,93 %</w:t>
            </w:r>
          </w:p>
        </w:tc>
        <w:tc>
          <w:tcPr>
            <w:tcW w:w="0" w:type="auto"/>
            <w:vAlign w:val="center"/>
            <w:hideMark/>
          </w:tcPr>
          <w:p w14:paraId="6640EE3E" w14:textId="77777777" w:rsidR="001A4E61" w:rsidRDefault="001A4E61" w:rsidP="00B45D4A">
            <w:pPr>
              <w:rPr>
                <w:rFonts w:eastAsia="Times New Roman"/>
              </w:rPr>
            </w:pPr>
            <w:r>
              <w:rPr>
                <w:rFonts w:eastAsia="Times New Roman"/>
              </w:rPr>
              <w:t>1 074 974</w:t>
            </w:r>
          </w:p>
        </w:tc>
        <w:tc>
          <w:tcPr>
            <w:tcW w:w="0" w:type="auto"/>
            <w:vAlign w:val="center"/>
            <w:hideMark/>
          </w:tcPr>
          <w:p w14:paraId="6400B2F0" w14:textId="77777777" w:rsidR="001A4E61" w:rsidRDefault="001A4E61" w:rsidP="00B45D4A">
            <w:pPr>
              <w:rPr>
                <w:rFonts w:eastAsia="Times New Roman"/>
              </w:rPr>
            </w:pPr>
            <w:r>
              <w:rPr>
                <w:rFonts w:eastAsia="Times New Roman"/>
              </w:rPr>
              <w:t>24</w:t>
            </w:r>
          </w:p>
        </w:tc>
      </w:tr>
      <w:tr w:rsidR="001A4E61" w14:paraId="6E34DDFD" w14:textId="77777777" w:rsidTr="00B45D4A">
        <w:trPr>
          <w:tblCellSpacing w:w="15" w:type="dxa"/>
        </w:trPr>
        <w:tc>
          <w:tcPr>
            <w:tcW w:w="0" w:type="auto"/>
            <w:vAlign w:val="center"/>
            <w:hideMark/>
          </w:tcPr>
          <w:p w14:paraId="12DF1509" w14:textId="77777777" w:rsidR="001A4E61" w:rsidRDefault="001A4E61" w:rsidP="00B45D4A">
            <w:pPr>
              <w:rPr>
                <w:rFonts w:eastAsia="Times New Roman"/>
              </w:rPr>
            </w:pPr>
            <w:r>
              <w:rPr>
                <w:rFonts w:eastAsia="Times New Roman"/>
              </w:rPr>
              <w:t>Lasi</w:t>
            </w:r>
          </w:p>
        </w:tc>
        <w:tc>
          <w:tcPr>
            <w:tcW w:w="0" w:type="auto"/>
            <w:vAlign w:val="center"/>
            <w:hideMark/>
          </w:tcPr>
          <w:p w14:paraId="1336A9ED" w14:textId="77777777" w:rsidR="001A4E61" w:rsidRDefault="001A4E61" w:rsidP="00B45D4A">
            <w:pPr>
              <w:rPr>
                <w:rFonts w:eastAsia="Times New Roman"/>
              </w:rPr>
            </w:pPr>
            <w:r>
              <w:rPr>
                <w:rFonts w:eastAsia="Times New Roman"/>
              </w:rPr>
              <w:t>1,11 %</w:t>
            </w:r>
          </w:p>
        </w:tc>
        <w:tc>
          <w:tcPr>
            <w:tcW w:w="0" w:type="auto"/>
            <w:vAlign w:val="center"/>
            <w:hideMark/>
          </w:tcPr>
          <w:p w14:paraId="3321B0A8" w14:textId="77777777" w:rsidR="001A4E61" w:rsidRDefault="001A4E61" w:rsidP="00B45D4A">
            <w:pPr>
              <w:rPr>
                <w:rFonts w:eastAsia="Times New Roman"/>
              </w:rPr>
            </w:pPr>
            <w:r>
              <w:rPr>
                <w:rFonts w:eastAsia="Times New Roman"/>
              </w:rPr>
              <w:t>109 169</w:t>
            </w:r>
          </w:p>
        </w:tc>
        <w:tc>
          <w:tcPr>
            <w:tcW w:w="0" w:type="auto"/>
            <w:vAlign w:val="center"/>
            <w:hideMark/>
          </w:tcPr>
          <w:p w14:paraId="2E82E26B" w14:textId="77777777" w:rsidR="001A4E61" w:rsidRDefault="001A4E61" w:rsidP="00B45D4A">
            <w:pPr>
              <w:rPr>
                <w:rFonts w:eastAsia="Times New Roman"/>
              </w:rPr>
            </w:pPr>
            <w:r>
              <w:rPr>
                <w:rFonts w:eastAsia="Times New Roman"/>
              </w:rPr>
              <w:t>2</w:t>
            </w:r>
          </w:p>
        </w:tc>
      </w:tr>
      <w:tr w:rsidR="001A4E61" w14:paraId="4235B3B1" w14:textId="77777777" w:rsidTr="00B45D4A">
        <w:trPr>
          <w:tblCellSpacing w:w="15" w:type="dxa"/>
        </w:trPr>
        <w:tc>
          <w:tcPr>
            <w:tcW w:w="0" w:type="auto"/>
            <w:vAlign w:val="center"/>
            <w:hideMark/>
          </w:tcPr>
          <w:p w14:paraId="7D3518CF" w14:textId="77777777" w:rsidR="001A4E61" w:rsidRDefault="001A4E61" w:rsidP="00B45D4A">
            <w:pPr>
              <w:rPr>
                <w:rFonts w:eastAsia="Times New Roman"/>
              </w:rPr>
            </w:pPr>
            <w:r>
              <w:rPr>
                <w:rFonts w:eastAsia="Times New Roman"/>
              </w:rPr>
              <w:lastRenderedPageBreak/>
              <w:t>Metalli</w:t>
            </w:r>
          </w:p>
        </w:tc>
        <w:tc>
          <w:tcPr>
            <w:tcW w:w="0" w:type="auto"/>
            <w:vAlign w:val="center"/>
            <w:hideMark/>
          </w:tcPr>
          <w:p w14:paraId="7905BE99" w14:textId="77777777" w:rsidR="001A4E61" w:rsidRDefault="001A4E61" w:rsidP="00B45D4A">
            <w:pPr>
              <w:rPr>
                <w:rFonts w:eastAsia="Times New Roman"/>
              </w:rPr>
            </w:pPr>
            <w:r>
              <w:rPr>
                <w:rFonts w:eastAsia="Times New Roman"/>
              </w:rPr>
              <w:t>2,74 %</w:t>
            </w:r>
          </w:p>
        </w:tc>
        <w:tc>
          <w:tcPr>
            <w:tcW w:w="0" w:type="auto"/>
            <w:vAlign w:val="center"/>
            <w:hideMark/>
          </w:tcPr>
          <w:p w14:paraId="6C6DE818" w14:textId="77777777" w:rsidR="001A4E61" w:rsidRDefault="001A4E61" w:rsidP="00B45D4A">
            <w:pPr>
              <w:rPr>
                <w:rFonts w:eastAsia="Times New Roman"/>
              </w:rPr>
            </w:pPr>
            <w:r>
              <w:rPr>
                <w:rFonts w:eastAsia="Times New Roman"/>
              </w:rPr>
              <w:t>269 481</w:t>
            </w:r>
          </w:p>
        </w:tc>
        <w:tc>
          <w:tcPr>
            <w:tcW w:w="0" w:type="auto"/>
            <w:vAlign w:val="center"/>
            <w:hideMark/>
          </w:tcPr>
          <w:p w14:paraId="4F6DCBF1" w14:textId="77777777" w:rsidR="001A4E61" w:rsidRDefault="001A4E61" w:rsidP="00B45D4A">
            <w:pPr>
              <w:rPr>
                <w:rFonts w:eastAsia="Times New Roman"/>
              </w:rPr>
            </w:pPr>
            <w:r>
              <w:rPr>
                <w:rFonts w:eastAsia="Times New Roman"/>
              </w:rPr>
              <w:t>6</w:t>
            </w:r>
          </w:p>
        </w:tc>
      </w:tr>
      <w:tr w:rsidR="001A4E61" w14:paraId="489DE556" w14:textId="77777777" w:rsidTr="00B45D4A">
        <w:trPr>
          <w:tblCellSpacing w:w="15" w:type="dxa"/>
        </w:trPr>
        <w:tc>
          <w:tcPr>
            <w:tcW w:w="0" w:type="auto"/>
            <w:vAlign w:val="center"/>
            <w:hideMark/>
          </w:tcPr>
          <w:p w14:paraId="213B70A8" w14:textId="77777777" w:rsidR="001A4E61" w:rsidRDefault="001A4E61" w:rsidP="00B45D4A">
            <w:pPr>
              <w:rPr>
                <w:rFonts w:eastAsia="Times New Roman"/>
              </w:rPr>
            </w:pPr>
            <w:r>
              <w:rPr>
                <w:rFonts w:eastAsia="Times New Roman"/>
              </w:rPr>
              <w:t>Muovi</w:t>
            </w:r>
          </w:p>
        </w:tc>
        <w:tc>
          <w:tcPr>
            <w:tcW w:w="0" w:type="auto"/>
            <w:vAlign w:val="center"/>
            <w:hideMark/>
          </w:tcPr>
          <w:p w14:paraId="005DB154" w14:textId="77777777" w:rsidR="001A4E61" w:rsidRDefault="001A4E61" w:rsidP="00B45D4A">
            <w:pPr>
              <w:rPr>
                <w:rFonts w:eastAsia="Times New Roman"/>
              </w:rPr>
            </w:pPr>
            <w:r>
              <w:rPr>
                <w:rFonts w:eastAsia="Times New Roman"/>
              </w:rPr>
              <w:t>18,24 %</w:t>
            </w:r>
          </w:p>
        </w:tc>
        <w:tc>
          <w:tcPr>
            <w:tcW w:w="0" w:type="auto"/>
            <w:vAlign w:val="center"/>
            <w:hideMark/>
          </w:tcPr>
          <w:p w14:paraId="2568A441" w14:textId="77777777" w:rsidR="001A4E61" w:rsidRDefault="001A4E61" w:rsidP="00B45D4A">
            <w:pPr>
              <w:rPr>
                <w:rFonts w:eastAsia="Times New Roman"/>
              </w:rPr>
            </w:pPr>
            <w:r>
              <w:rPr>
                <w:rFonts w:eastAsia="Times New Roman"/>
              </w:rPr>
              <w:t>1 793 919</w:t>
            </w:r>
          </w:p>
        </w:tc>
        <w:tc>
          <w:tcPr>
            <w:tcW w:w="0" w:type="auto"/>
            <w:vAlign w:val="center"/>
            <w:hideMark/>
          </w:tcPr>
          <w:p w14:paraId="3A72290F" w14:textId="77777777" w:rsidR="001A4E61" w:rsidRDefault="001A4E61" w:rsidP="00B45D4A">
            <w:pPr>
              <w:rPr>
                <w:rFonts w:eastAsia="Times New Roman"/>
              </w:rPr>
            </w:pPr>
            <w:r>
              <w:rPr>
                <w:rFonts w:eastAsia="Times New Roman"/>
              </w:rPr>
              <w:t>41</w:t>
            </w:r>
          </w:p>
        </w:tc>
      </w:tr>
      <w:tr w:rsidR="001A4E61" w14:paraId="11A5AFAC" w14:textId="77777777" w:rsidTr="00B45D4A">
        <w:trPr>
          <w:tblCellSpacing w:w="15" w:type="dxa"/>
        </w:trPr>
        <w:tc>
          <w:tcPr>
            <w:tcW w:w="0" w:type="auto"/>
            <w:vAlign w:val="center"/>
            <w:hideMark/>
          </w:tcPr>
          <w:p w14:paraId="6C73F99E" w14:textId="77777777" w:rsidR="001A4E61" w:rsidRDefault="001A4E61" w:rsidP="00B45D4A">
            <w:pPr>
              <w:rPr>
                <w:rFonts w:eastAsia="Times New Roman"/>
              </w:rPr>
            </w:pPr>
            <w:r>
              <w:rPr>
                <w:rFonts w:eastAsia="Times New Roman"/>
              </w:rPr>
              <w:t>Paperi</w:t>
            </w:r>
          </w:p>
        </w:tc>
        <w:tc>
          <w:tcPr>
            <w:tcW w:w="0" w:type="auto"/>
            <w:vAlign w:val="center"/>
            <w:hideMark/>
          </w:tcPr>
          <w:p w14:paraId="383C1963" w14:textId="77777777" w:rsidR="001A4E61" w:rsidRDefault="001A4E61" w:rsidP="00B45D4A">
            <w:pPr>
              <w:rPr>
                <w:rFonts w:eastAsia="Times New Roman"/>
              </w:rPr>
            </w:pPr>
            <w:r>
              <w:rPr>
                <w:rFonts w:eastAsia="Times New Roman"/>
              </w:rPr>
              <w:t>5,98 %</w:t>
            </w:r>
          </w:p>
        </w:tc>
        <w:tc>
          <w:tcPr>
            <w:tcW w:w="0" w:type="auto"/>
            <w:vAlign w:val="center"/>
            <w:hideMark/>
          </w:tcPr>
          <w:p w14:paraId="74A6AF85" w14:textId="77777777" w:rsidR="001A4E61" w:rsidRDefault="001A4E61" w:rsidP="00B45D4A">
            <w:pPr>
              <w:rPr>
                <w:rFonts w:eastAsia="Times New Roman"/>
              </w:rPr>
            </w:pPr>
            <w:r>
              <w:rPr>
                <w:rFonts w:eastAsia="Times New Roman"/>
              </w:rPr>
              <w:t>588 138</w:t>
            </w:r>
          </w:p>
        </w:tc>
        <w:tc>
          <w:tcPr>
            <w:tcW w:w="0" w:type="auto"/>
            <w:vAlign w:val="center"/>
            <w:hideMark/>
          </w:tcPr>
          <w:p w14:paraId="39A8893D" w14:textId="77777777" w:rsidR="001A4E61" w:rsidRDefault="001A4E61" w:rsidP="00B45D4A">
            <w:pPr>
              <w:rPr>
                <w:rFonts w:eastAsia="Times New Roman"/>
              </w:rPr>
            </w:pPr>
            <w:r>
              <w:rPr>
                <w:rFonts w:eastAsia="Times New Roman"/>
              </w:rPr>
              <w:t>13</w:t>
            </w:r>
          </w:p>
        </w:tc>
      </w:tr>
      <w:tr w:rsidR="001A4E61" w14:paraId="01F60E26" w14:textId="77777777" w:rsidTr="00B45D4A">
        <w:trPr>
          <w:tblCellSpacing w:w="15" w:type="dxa"/>
        </w:trPr>
        <w:tc>
          <w:tcPr>
            <w:tcW w:w="0" w:type="auto"/>
            <w:vAlign w:val="center"/>
            <w:hideMark/>
          </w:tcPr>
          <w:p w14:paraId="1C510A0A" w14:textId="77777777" w:rsidR="001A4E61" w:rsidRDefault="001A4E61" w:rsidP="00B45D4A">
            <w:pPr>
              <w:rPr>
                <w:rFonts w:eastAsia="Times New Roman"/>
              </w:rPr>
            </w:pPr>
            <w:r>
              <w:rPr>
                <w:rFonts w:eastAsia="Times New Roman"/>
              </w:rPr>
              <w:t>Puu</w:t>
            </w:r>
          </w:p>
        </w:tc>
        <w:tc>
          <w:tcPr>
            <w:tcW w:w="0" w:type="auto"/>
            <w:vAlign w:val="center"/>
            <w:hideMark/>
          </w:tcPr>
          <w:p w14:paraId="6BFAF015" w14:textId="77777777" w:rsidR="001A4E61" w:rsidRDefault="001A4E61" w:rsidP="00B45D4A">
            <w:pPr>
              <w:rPr>
                <w:rFonts w:eastAsia="Times New Roman"/>
              </w:rPr>
            </w:pPr>
            <w:r>
              <w:rPr>
                <w:rFonts w:eastAsia="Times New Roman"/>
              </w:rPr>
              <w:t>3,99 %</w:t>
            </w:r>
          </w:p>
        </w:tc>
        <w:tc>
          <w:tcPr>
            <w:tcW w:w="0" w:type="auto"/>
            <w:vAlign w:val="center"/>
            <w:hideMark/>
          </w:tcPr>
          <w:p w14:paraId="14D9364A" w14:textId="77777777" w:rsidR="001A4E61" w:rsidRDefault="001A4E61" w:rsidP="00B45D4A">
            <w:pPr>
              <w:rPr>
                <w:rFonts w:eastAsia="Times New Roman"/>
              </w:rPr>
            </w:pPr>
            <w:r>
              <w:rPr>
                <w:rFonts w:eastAsia="Times New Roman"/>
              </w:rPr>
              <w:t>392 420</w:t>
            </w:r>
          </w:p>
        </w:tc>
        <w:tc>
          <w:tcPr>
            <w:tcW w:w="0" w:type="auto"/>
            <w:vAlign w:val="center"/>
            <w:hideMark/>
          </w:tcPr>
          <w:p w14:paraId="6C04747F" w14:textId="77777777" w:rsidR="001A4E61" w:rsidRDefault="001A4E61" w:rsidP="00B45D4A">
            <w:pPr>
              <w:rPr>
                <w:rFonts w:eastAsia="Times New Roman"/>
              </w:rPr>
            </w:pPr>
            <w:r>
              <w:rPr>
                <w:rFonts w:eastAsia="Times New Roman"/>
              </w:rPr>
              <w:t>9</w:t>
            </w:r>
          </w:p>
        </w:tc>
      </w:tr>
      <w:tr w:rsidR="001A4E61" w14:paraId="766A8EAF" w14:textId="77777777" w:rsidTr="00B45D4A">
        <w:trPr>
          <w:tblCellSpacing w:w="15" w:type="dxa"/>
        </w:trPr>
        <w:tc>
          <w:tcPr>
            <w:tcW w:w="0" w:type="auto"/>
            <w:vAlign w:val="center"/>
            <w:hideMark/>
          </w:tcPr>
          <w:p w14:paraId="57896B65" w14:textId="77777777" w:rsidR="001A4E61" w:rsidRDefault="001A4E61" w:rsidP="00B45D4A">
            <w:pPr>
              <w:rPr>
                <w:rFonts w:eastAsia="Times New Roman"/>
              </w:rPr>
            </w:pPr>
            <w:r>
              <w:rPr>
                <w:rFonts w:eastAsia="Times New Roman"/>
              </w:rPr>
              <w:t>Sähkölaitteet ja akut</w:t>
            </w:r>
          </w:p>
        </w:tc>
        <w:tc>
          <w:tcPr>
            <w:tcW w:w="0" w:type="auto"/>
            <w:vAlign w:val="center"/>
            <w:hideMark/>
          </w:tcPr>
          <w:p w14:paraId="4DE9E63F" w14:textId="77777777" w:rsidR="001A4E61" w:rsidRDefault="001A4E61" w:rsidP="00B45D4A">
            <w:pPr>
              <w:rPr>
                <w:rFonts w:eastAsia="Times New Roman"/>
              </w:rPr>
            </w:pPr>
            <w:r>
              <w:rPr>
                <w:rFonts w:eastAsia="Times New Roman"/>
              </w:rPr>
              <w:t>0,87 %</w:t>
            </w:r>
          </w:p>
        </w:tc>
        <w:tc>
          <w:tcPr>
            <w:tcW w:w="0" w:type="auto"/>
            <w:vAlign w:val="center"/>
            <w:hideMark/>
          </w:tcPr>
          <w:p w14:paraId="2132E697" w14:textId="77777777" w:rsidR="001A4E61" w:rsidRDefault="001A4E61" w:rsidP="00B45D4A">
            <w:pPr>
              <w:rPr>
                <w:rFonts w:eastAsia="Times New Roman"/>
              </w:rPr>
            </w:pPr>
            <w:r>
              <w:rPr>
                <w:rFonts w:eastAsia="Times New Roman"/>
              </w:rPr>
              <w:t>85 565</w:t>
            </w:r>
          </w:p>
        </w:tc>
        <w:tc>
          <w:tcPr>
            <w:tcW w:w="0" w:type="auto"/>
            <w:vAlign w:val="center"/>
            <w:hideMark/>
          </w:tcPr>
          <w:p w14:paraId="38C4F151" w14:textId="77777777" w:rsidR="001A4E61" w:rsidRDefault="001A4E61" w:rsidP="00B45D4A">
            <w:pPr>
              <w:rPr>
                <w:rFonts w:eastAsia="Times New Roman"/>
              </w:rPr>
            </w:pPr>
            <w:r>
              <w:rPr>
                <w:rFonts w:eastAsia="Times New Roman"/>
              </w:rPr>
              <w:t>2</w:t>
            </w:r>
          </w:p>
        </w:tc>
      </w:tr>
      <w:tr w:rsidR="001A4E61" w14:paraId="1AE40B89" w14:textId="77777777" w:rsidTr="00B45D4A">
        <w:trPr>
          <w:tblCellSpacing w:w="15" w:type="dxa"/>
        </w:trPr>
        <w:tc>
          <w:tcPr>
            <w:tcW w:w="0" w:type="auto"/>
            <w:vAlign w:val="center"/>
            <w:hideMark/>
          </w:tcPr>
          <w:p w14:paraId="70F0BCBE" w14:textId="77777777" w:rsidR="001A4E61" w:rsidRDefault="001A4E61" w:rsidP="00B45D4A">
            <w:pPr>
              <w:rPr>
                <w:rFonts w:eastAsia="Times New Roman"/>
              </w:rPr>
            </w:pPr>
            <w:r>
              <w:rPr>
                <w:rStyle w:val="Voimakas"/>
                <w:rFonts w:eastAsia="Times New Roman"/>
              </w:rPr>
              <w:t>Yhteensä</w:t>
            </w:r>
          </w:p>
        </w:tc>
        <w:tc>
          <w:tcPr>
            <w:tcW w:w="0" w:type="auto"/>
            <w:vAlign w:val="center"/>
            <w:hideMark/>
          </w:tcPr>
          <w:p w14:paraId="5E85B7E3" w14:textId="77777777" w:rsidR="001A4E61" w:rsidRDefault="001A4E61" w:rsidP="00B45D4A">
            <w:pPr>
              <w:rPr>
                <w:rFonts w:eastAsia="Times New Roman"/>
              </w:rPr>
            </w:pPr>
          </w:p>
        </w:tc>
        <w:tc>
          <w:tcPr>
            <w:tcW w:w="0" w:type="auto"/>
            <w:vAlign w:val="center"/>
            <w:hideMark/>
          </w:tcPr>
          <w:p w14:paraId="4AEC6AD6" w14:textId="77777777" w:rsidR="001A4E61" w:rsidRDefault="001A4E61" w:rsidP="00B45D4A">
            <w:pPr>
              <w:rPr>
                <w:rFonts w:eastAsia="Times New Roman"/>
              </w:rPr>
            </w:pPr>
            <w:r>
              <w:rPr>
                <w:rFonts w:eastAsia="Times New Roman"/>
              </w:rPr>
              <w:t>6 170 529</w:t>
            </w:r>
          </w:p>
        </w:tc>
        <w:tc>
          <w:tcPr>
            <w:tcW w:w="0" w:type="auto"/>
            <w:vAlign w:val="center"/>
            <w:hideMark/>
          </w:tcPr>
          <w:p w14:paraId="6ACB78BE" w14:textId="77777777" w:rsidR="001A4E61" w:rsidRDefault="001A4E61" w:rsidP="00B45D4A">
            <w:pPr>
              <w:rPr>
                <w:rFonts w:eastAsia="Times New Roman"/>
              </w:rPr>
            </w:pPr>
            <w:r>
              <w:rPr>
                <w:rFonts w:eastAsia="Times New Roman"/>
              </w:rPr>
              <w:t>140</w:t>
            </w:r>
          </w:p>
        </w:tc>
      </w:tr>
    </w:tbl>
    <w:p w14:paraId="399B39A6" w14:textId="496901B1" w:rsidR="001A4E61" w:rsidRDefault="001A4E61" w:rsidP="001A4E61">
      <w:pPr>
        <w:pStyle w:val="NormaaliWWW"/>
      </w:pPr>
      <w:r>
        <w:t>Toimenpide-ehdotuksissa korostetaan kotitalouksille riittävien lajitteluastioiden järjestämistä ja lajitteluohjeiden selkeää saatavuutta. Jätehuollon järjestämisessä suositellaan valvonnan tehostamista biojätteen erilliskeräyksessä sekä jäteneuvonnan lisäämistä, jotta sekajätteen laatu paranisi. Taloyhtiöissä tulisi erityisesti kiinnittää huomiota lajitteluastioiden järjestämiseen ja asukkaiden ohjaukseen. Lisäksi keräyksiä voidaan tehostaa tarjoamalla enemmän kiinteistökohtaista erilliskeräystä.</w:t>
      </w:r>
    </w:p>
    <w:p w14:paraId="12FF5599" w14:textId="77777777" w:rsidR="001A4E61" w:rsidRDefault="001A4E61" w:rsidP="001A4E61">
      <w:pPr>
        <w:pStyle w:val="Otsikko2"/>
        <w:rPr>
          <w:rFonts w:eastAsia="Times New Roman"/>
        </w:rPr>
      </w:pPr>
      <w:r>
        <w:rPr>
          <w:rFonts w:eastAsia="Times New Roman"/>
        </w:rPr>
        <w:t>Johtopäätökset</w:t>
      </w:r>
    </w:p>
    <w:p w14:paraId="68837C36" w14:textId="4BD0C620" w:rsidR="001A4E61" w:rsidRDefault="001A4E61" w:rsidP="001A4E61">
      <w:pPr>
        <w:pStyle w:val="NormaaliWWW"/>
      </w:pPr>
      <w:r>
        <w:t>Tutkimuksen keskeinen havainto on, että sekajätteen lajittelu ei ole riittävän laadukasta, vaikka keräyspisteitä ja -välineitä on tarjolla. Sekajätteeseen päätyy edelleen huomattava määrä hyödynnettävää jätettä, erityisesti biojätettä ja pakkausmateriaaleja. Vaarallisen jätteen määrä on pieni. Sekajätteen polttaminen sisältää noin kolmasosan polttokelvotonta jätettä, mikä haittaa polttoprosesseja. Biojätteen osalta ei ole havaittu merkittävää parannusta vuoden 2020 tutkimukseen verrattuna. Tutkimuksen ajankohta keväällä voi osaltaan vaikuttaa tuloksiin, ja jatkossa suositellaan tutkimusten tekemistä syksyllä vertailukelpoisuuden parantamiseksi.</w:t>
      </w:r>
    </w:p>
    <w:p w14:paraId="17411536" w14:textId="755EA330" w:rsidR="001A4E61" w:rsidRDefault="001A4E61" w:rsidP="001A4E61">
      <w:pPr>
        <w:pStyle w:val="NormaaliWWW"/>
      </w:pPr>
      <w:r>
        <w:t>Aluekeräyksessä lajittelu on onnistunut parhaiten, kun taas taloyhtiöissä pakkausjätteitä päätyy sekajätteeseen runsaasti, mikä viittaa lajittelun puutteisiin asenteissa tai käytännön järjestelyissä. Kierrätyspotentiaali on suuri, ja lajittelun parantamisella voitaisiin merkittävästi nostaa kierrätysastetta Ekokympin toimialueella.</w:t>
      </w:r>
    </w:p>
    <w:p w14:paraId="36D77A2E" w14:textId="7E2CF20D" w:rsidR="001A4E61" w:rsidRDefault="001A4E61" w:rsidP="001A4E61">
      <w:pPr>
        <w:pStyle w:val="NormaaliWWW"/>
      </w:pPr>
      <w:r>
        <w:t>Raportti tarjoaa kattavan kuvan sekajätteen koostumuksesta ja antaa suosituksia lajittelun ja kierrätyksen tehostamiseksi Kainuun alueella.</w:t>
      </w:r>
    </w:p>
    <w:p w14:paraId="4A64347B" w14:textId="77777777" w:rsidR="008206A5" w:rsidRDefault="008206A5"/>
    <w:sectPr w:rsidR="008206A5" w:rsidSect="001A4E6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270A1"/>
    <w:multiLevelType w:val="multilevel"/>
    <w:tmpl w:val="5BBA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0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61"/>
    <w:rsid w:val="000F5FFE"/>
    <w:rsid w:val="001A4E61"/>
    <w:rsid w:val="003748F0"/>
    <w:rsid w:val="00452032"/>
    <w:rsid w:val="006F7505"/>
    <w:rsid w:val="007C2076"/>
    <w:rsid w:val="008206A5"/>
    <w:rsid w:val="008E1C16"/>
    <w:rsid w:val="00B13D18"/>
    <w:rsid w:val="00BE7873"/>
    <w:rsid w:val="00D906E3"/>
    <w:rsid w:val="00D94498"/>
    <w:rsid w:val="00DD5011"/>
    <w:rsid w:val="00E730E4"/>
    <w:rsid w:val="00F262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CF32"/>
  <w14:defaultImageDpi w14:val="32767"/>
  <w15:chartTrackingRefBased/>
  <w15:docId w15:val="{711E7394-72A4-9F40-9BCE-EAC050BD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1A4E61"/>
    <w:pPr>
      <w:spacing w:after="160" w:line="278" w:lineRule="auto"/>
    </w:pPr>
    <w:rPr>
      <w:rFonts w:eastAsiaTheme="minorEastAsia"/>
      <w:lang w:eastAsia="fi-FI"/>
    </w:rPr>
  </w:style>
  <w:style w:type="paragraph" w:styleId="Otsikko1">
    <w:name w:val="heading 1"/>
    <w:basedOn w:val="Normaali"/>
    <w:next w:val="Normaali"/>
    <w:link w:val="Otsikko1Char"/>
    <w:uiPriority w:val="9"/>
    <w:qFormat/>
    <w:rsid w:val="001A4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1A4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7C2076"/>
    <w:pPr>
      <w:keepNext/>
      <w:keepLines/>
      <w:tabs>
        <w:tab w:val="left" w:pos="624"/>
      </w:tabs>
      <w:spacing w:before="160" w:after="80"/>
      <w:ind w:left="624"/>
      <w:outlineLvl w:val="2"/>
    </w:pPr>
    <w:rPr>
      <w:rFonts w:eastAsiaTheme="majorEastAsia" w:cstheme="majorBidi"/>
      <w:b/>
      <w:color w:val="0F4761" w:themeColor="accent1" w:themeShade="BF"/>
      <w:szCs w:val="28"/>
    </w:rPr>
  </w:style>
  <w:style w:type="paragraph" w:styleId="Otsikko4">
    <w:name w:val="heading 4"/>
    <w:basedOn w:val="Normaali"/>
    <w:next w:val="Normaali"/>
    <w:link w:val="Otsikko4Char"/>
    <w:uiPriority w:val="9"/>
    <w:semiHidden/>
    <w:unhideWhenUsed/>
    <w:qFormat/>
    <w:rsid w:val="001A4E6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A4E6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A4E61"/>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A4E61"/>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A4E61"/>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A4E61"/>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qFormat/>
    <w:rsid w:val="008E1C16"/>
    <w:pPr>
      <w:contextualSpacing/>
    </w:pPr>
    <w:rPr>
      <w:rFonts w:ascii="Arial" w:eastAsiaTheme="majorEastAsia" w:hAnsi="Arial" w:cstheme="majorBidi"/>
      <w:b/>
      <w:caps/>
      <w:spacing w:val="-10"/>
      <w:kern w:val="28"/>
      <w:sz w:val="32"/>
      <w:szCs w:val="56"/>
    </w:rPr>
  </w:style>
  <w:style w:type="character" w:customStyle="1" w:styleId="OtsikkoChar">
    <w:name w:val="Otsikko Char"/>
    <w:basedOn w:val="Kappaleenoletusfontti"/>
    <w:link w:val="Otsikko"/>
    <w:rsid w:val="008E1C16"/>
    <w:rPr>
      <w:rFonts w:ascii="Arial" w:eastAsiaTheme="majorEastAsia" w:hAnsi="Arial" w:cstheme="majorBidi"/>
      <w:b/>
      <w:caps/>
      <w:spacing w:val="-10"/>
      <w:kern w:val="28"/>
      <w:sz w:val="32"/>
      <w:szCs w:val="56"/>
    </w:rPr>
  </w:style>
  <w:style w:type="character" w:customStyle="1" w:styleId="Otsikko3Char">
    <w:name w:val="Otsikko 3 Char"/>
    <w:basedOn w:val="Kappaleenoletusfontti"/>
    <w:link w:val="Otsikko3"/>
    <w:uiPriority w:val="9"/>
    <w:rsid w:val="007C2076"/>
    <w:rPr>
      <w:rFonts w:eastAsiaTheme="majorEastAsia" w:cstheme="majorBidi"/>
      <w:b/>
      <w:color w:val="0F4761" w:themeColor="accent1" w:themeShade="BF"/>
      <w:szCs w:val="28"/>
    </w:rPr>
  </w:style>
  <w:style w:type="character" w:customStyle="1" w:styleId="Otsikko1Char">
    <w:name w:val="Otsikko 1 Char"/>
    <w:basedOn w:val="Kappaleenoletusfontti"/>
    <w:link w:val="Otsikko1"/>
    <w:uiPriority w:val="9"/>
    <w:rsid w:val="001A4E6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1A4E61"/>
    <w:rPr>
      <w:rFonts w:asciiTheme="majorHAnsi" w:eastAsiaTheme="majorEastAsia" w:hAnsiTheme="majorHAnsi" w:cstheme="majorBidi"/>
      <w:color w:val="0F4761" w:themeColor="accent1" w:themeShade="BF"/>
      <w:sz w:val="32"/>
      <w:szCs w:val="32"/>
    </w:rPr>
  </w:style>
  <w:style w:type="character" w:customStyle="1" w:styleId="Otsikko4Char">
    <w:name w:val="Otsikko 4 Char"/>
    <w:basedOn w:val="Kappaleenoletusfontti"/>
    <w:link w:val="Otsikko4"/>
    <w:uiPriority w:val="9"/>
    <w:semiHidden/>
    <w:rsid w:val="001A4E6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A4E6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A4E6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A4E6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A4E6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A4E61"/>
    <w:rPr>
      <w:rFonts w:eastAsiaTheme="majorEastAsia" w:cstheme="majorBidi"/>
      <w:color w:val="272727" w:themeColor="text1" w:themeTint="D8"/>
    </w:rPr>
  </w:style>
  <w:style w:type="paragraph" w:styleId="Alaotsikko">
    <w:name w:val="Subtitle"/>
    <w:basedOn w:val="Normaali"/>
    <w:next w:val="Normaali"/>
    <w:link w:val="AlaotsikkoChar"/>
    <w:uiPriority w:val="11"/>
    <w:qFormat/>
    <w:rsid w:val="001A4E6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A4E6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A4E6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A4E61"/>
    <w:rPr>
      <w:i/>
      <w:iCs/>
      <w:color w:val="404040" w:themeColor="text1" w:themeTint="BF"/>
    </w:rPr>
  </w:style>
  <w:style w:type="paragraph" w:styleId="Luettelokappale">
    <w:name w:val="List Paragraph"/>
    <w:basedOn w:val="Normaali"/>
    <w:uiPriority w:val="34"/>
    <w:qFormat/>
    <w:rsid w:val="001A4E61"/>
    <w:pPr>
      <w:ind w:left="720"/>
      <w:contextualSpacing/>
    </w:pPr>
  </w:style>
  <w:style w:type="character" w:styleId="Voimakaskorostus">
    <w:name w:val="Intense Emphasis"/>
    <w:basedOn w:val="Kappaleenoletusfontti"/>
    <w:uiPriority w:val="21"/>
    <w:qFormat/>
    <w:rsid w:val="001A4E61"/>
    <w:rPr>
      <w:i/>
      <w:iCs/>
      <w:color w:val="0F4761" w:themeColor="accent1" w:themeShade="BF"/>
    </w:rPr>
  </w:style>
  <w:style w:type="paragraph" w:styleId="Erottuvalainaus">
    <w:name w:val="Intense Quote"/>
    <w:basedOn w:val="Normaali"/>
    <w:next w:val="Normaali"/>
    <w:link w:val="ErottuvalainausChar"/>
    <w:uiPriority w:val="30"/>
    <w:qFormat/>
    <w:rsid w:val="001A4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A4E61"/>
    <w:rPr>
      <w:i/>
      <w:iCs/>
      <w:color w:val="0F4761" w:themeColor="accent1" w:themeShade="BF"/>
    </w:rPr>
  </w:style>
  <w:style w:type="character" w:styleId="Erottuvaviittaus">
    <w:name w:val="Intense Reference"/>
    <w:basedOn w:val="Kappaleenoletusfontti"/>
    <w:uiPriority w:val="32"/>
    <w:qFormat/>
    <w:rsid w:val="001A4E61"/>
    <w:rPr>
      <w:b/>
      <w:bCs/>
      <w:smallCaps/>
      <w:color w:val="0F4761" w:themeColor="accent1" w:themeShade="BF"/>
      <w:spacing w:val="5"/>
    </w:rPr>
  </w:style>
  <w:style w:type="paragraph" w:styleId="NormaaliWWW">
    <w:name w:val="Normal (Web)"/>
    <w:basedOn w:val="Normaali"/>
    <w:uiPriority w:val="99"/>
    <w:semiHidden/>
    <w:unhideWhenUsed/>
    <w:rsid w:val="001A4E61"/>
    <w:pPr>
      <w:spacing w:before="100" w:beforeAutospacing="1" w:after="100" w:afterAutospacing="1"/>
    </w:pPr>
  </w:style>
  <w:style w:type="character" w:styleId="Voimakas">
    <w:name w:val="Strong"/>
    <w:basedOn w:val="Kappaleenoletusfontti"/>
    <w:uiPriority w:val="22"/>
    <w:qFormat/>
    <w:rsid w:val="001A4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afa457-86ea-4206-aeb3-fe5f04cac6ee" xsi:nil="true"/>
    <lcf76f155ced4ddcb4097134ff3c332f xmlns="2a19d47e-523f-49a7-85f7-b1cdc51924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1E09AF37C12B5A4AA33D57AC5BC56031" ma:contentTypeVersion="17" ma:contentTypeDescription="Luo uusi asiakirja." ma:contentTypeScope="" ma:versionID="c77774582a8e723f2f655ae741e5c90a">
  <xsd:schema xmlns:xsd="http://www.w3.org/2001/XMLSchema" xmlns:xs="http://www.w3.org/2001/XMLSchema" xmlns:p="http://schemas.microsoft.com/office/2006/metadata/properties" xmlns:ns2="2a19d47e-523f-49a7-85f7-b1cdc51924ae" xmlns:ns3="54afa457-86ea-4206-aeb3-fe5f04cac6ee" targetNamespace="http://schemas.microsoft.com/office/2006/metadata/properties" ma:root="true" ma:fieldsID="21687f2927d64d0a8ab736ac2a19a0cc" ns2:_="" ns3:_="">
    <xsd:import namespace="2a19d47e-523f-49a7-85f7-b1cdc51924ae"/>
    <xsd:import namespace="54afa457-86ea-4206-aeb3-fe5f04cac6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9d47e-523f-49a7-85f7-b1cdc5192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b34dde22-562c-4bfb-b256-7a722cb97e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fa457-86ea-4206-aeb3-fe5f04cac6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ad19ec-f0da-447a-ab82-5be7857599ca}" ma:internalName="TaxCatchAll" ma:showField="CatchAllData" ma:web="54afa457-86ea-4206-aeb3-fe5f04cac6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C86E2-3186-475B-A2E3-9BC55C88492A}">
  <ds:schemaRefs>
    <ds:schemaRef ds:uri="http://schemas.microsoft.com/sharepoint/v3/contenttype/forms"/>
  </ds:schemaRefs>
</ds:datastoreItem>
</file>

<file path=customXml/itemProps2.xml><?xml version="1.0" encoding="utf-8"?>
<ds:datastoreItem xmlns:ds="http://schemas.openxmlformats.org/officeDocument/2006/customXml" ds:itemID="{2D8DD63B-B719-48D6-82F0-CEABB471231F}">
  <ds:schemaRefs>
    <ds:schemaRef ds:uri="http://schemas.microsoft.com/office/2006/metadata/properties"/>
    <ds:schemaRef ds:uri="http://schemas.microsoft.com/office/infopath/2007/PartnerControls"/>
    <ds:schemaRef ds:uri="54afa457-86ea-4206-aeb3-fe5f04cac6ee"/>
    <ds:schemaRef ds:uri="2a19d47e-523f-49a7-85f7-b1cdc51924ae"/>
  </ds:schemaRefs>
</ds:datastoreItem>
</file>

<file path=customXml/itemProps3.xml><?xml version="1.0" encoding="utf-8"?>
<ds:datastoreItem xmlns:ds="http://schemas.openxmlformats.org/officeDocument/2006/customXml" ds:itemID="{B5B8D352-9ABB-44E6-9932-D3B6685E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9d47e-523f-49a7-85f7-b1cdc51924ae"/>
    <ds:schemaRef ds:uri="54afa457-86ea-4206-aeb3-fe5f04cac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640</Words>
  <Characters>5068</Characters>
  <Application>Microsoft Office Word</Application>
  <DocSecurity>0</DocSecurity>
  <Lines>123</Lines>
  <Paragraphs>69</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Marjut Kinnunen</dc:creator>
  <cp:keywords/>
  <dc:description/>
  <cp:lastModifiedBy>Sari Komulainen</cp:lastModifiedBy>
  <cp:revision>4</cp:revision>
  <dcterms:created xsi:type="dcterms:W3CDTF">2025-12-02T07:22:00Z</dcterms:created>
  <dcterms:modified xsi:type="dcterms:W3CDTF">2025-12-10T08:27:00Z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0x0101001E09AF37C12B5A4AA33D57AC5BC56031</vt:lpwstr>
  </property>
  <property fmtid="{D5CDD505-2E9C-101B-9397-08002B2CF9AE}" pid="3" name="docLang">
    <vt:lpwstr>fi</vt:lpwstr>
  </property>
  <property fmtid="{D5CDD505-2E9C-101B-9397-08002B2CF9AE}" pid="4" name="MediaServiceImageTags">
    <vt:lpwstr/>
  </property>
</Properties>
</file>